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B4" w:rsidRPr="00101FAC" w:rsidRDefault="005164B4" w:rsidP="005164B4">
      <w:pPr>
        <w:rPr>
          <w:rFonts w:cs="宋体" w:hint="eastAsia"/>
          <w:sz w:val="24"/>
        </w:rPr>
      </w:pPr>
      <w:r w:rsidRPr="00F96391">
        <w:rPr>
          <w:rFonts w:cs="宋体" w:hint="eastAsia"/>
          <w:sz w:val="24"/>
        </w:rPr>
        <w:t>附件</w:t>
      </w:r>
      <w:r w:rsidRPr="00F96391">
        <w:rPr>
          <w:rFonts w:cs="宋体" w:hint="eastAsia"/>
          <w:sz w:val="24"/>
        </w:rPr>
        <w:t>3</w:t>
      </w:r>
    </w:p>
    <w:p w:rsidR="005164B4" w:rsidRPr="00101FAC" w:rsidRDefault="005164B4" w:rsidP="005164B4">
      <w:pPr>
        <w:jc w:val="center"/>
        <w:rPr>
          <w:rFonts w:hint="eastAsia"/>
          <w:sz w:val="24"/>
        </w:rPr>
      </w:pPr>
      <w:r w:rsidRPr="00101FAC">
        <w:rPr>
          <w:rFonts w:cs="华文仿宋" w:hint="eastAsia"/>
          <w:b/>
          <w:sz w:val="24"/>
        </w:rPr>
        <w:t>南京农业大学第五届外文戏剧节评分表</w:t>
      </w:r>
    </w:p>
    <w:p w:rsidR="005164B4" w:rsidRPr="00F96391" w:rsidRDefault="005164B4" w:rsidP="005164B4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2"/>
        <w:gridCol w:w="4365"/>
        <w:gridCol w:w="1595"/>
      </w:tblGrid>
      <w:tr w:rsidR="005164B4" w:rsidRPr="00F96391" w:rsidTr="002902EB">
        <w:trPr>
          <w:jc w:val="center"/>
        </w:trPr>
        <w:tc>
          <w:tcPr>
            <w:tcW w:w="4064" w:type="pct"/>
            <w:gridSpan w:val="2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评分项目</w:t>
            </w:r>
          </w:p>
        </w:tc>
        <w:tc>
          <w:tcPr>
            <w:tcW w:w="936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分值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 w:val="restar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主题</w:t>
            </w:r>
          </w:p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（</w:t>
            </w:r>
            <w:r w:rsidRPr="00F96391">
              <w:rPr>
                <w:rFonts w:cs="华文仿宋" w:hint="eastAsia"/>
                <w:sz w:val="24"/>
              </w:rPr>
              <w:t>20</w:t>
            </w:r>
            <w:r w:rsidRPr="00F96391">
              <w:rPr>
                <w:rFonts w:cs="华文仿宋" w:hint="eastAsia"/>
                <w:sz w:val="24"/>
              </w:rPr>
              <w:t>分）</w:t>
            </w: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积极、健康、向上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left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有深度，能贴近社会生活</w:t>
            </w:r>
            <w:r w:rsidRPr="00F96391">
              <w:rPr>
                <w:rFonts w:cs="华文仿宋" w:hint="eastAsia"/>
                <w:sz w:val="24"/>
              </w:rPr>
              <w:t>,</w:t>
            </w:r>
            <w:r w:rsidRPr="00F96391">
              <w:rPr>
                <w:rFonts w:cs="华文仿宋" w:hint="eastAsia"/>
                <w:sz w:val="24"/>
              </w:rPr>
              <w:t>能引起观众共鸣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 w:val="restar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节目编排</w:t>
            </w:r>
          </w:p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团队合作</w:t>
            </w:r>
          </w:p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（</w:t>
            </w:r>
            <w:r w:rsidRPr="00F96391">
              <w:rPr>
                <w:rFonts w:cs="华文仿宋" w:hint="eastAsia"/>
                <w:sz w:val="24"/>
              </w:rPr>
              <w:t>30</w:t>
            </w:r>
            <w:r w:rsidRPr="00F96391">
              <w:rPr>
                <w:rFonts w:cs="华文仿宋" w:hint="eastAsia"/>
                <w:sz w:val="24"/>
              </w:rPr>
              <w:t>分）</w:t>
            </w: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left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情节跌宕起伏，矛盾冲突明显，演员出场顺序井井有条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left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服装、道具齐全合适、舞台效果和谐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15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left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时间</w:t>
            </w: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～</w:t>
            </w:r>
            <w:r w:rsidRPr="00F96391">
              <w:rPr>
                <w:rFonts w:cs="华文仿宋" w:hint="eastAsia"/>
                <w:sz w:val="24"/>
              </w:rPr>
              <w:t>15</w:t>
            </w:r>
            <w:r w:rsidRPr="00F96391">
              <w:rPr>
                <w:rFonts w:cs="华文仿宋" w:hint="eastAsia"/>
                <w:sz w:val="24"/>
              </w:rPr>
              <w:t>分钟，超出扣</w:t>
            </w:r>
            <w:r w:rsidRPr="00F96391">
              <w:rPr>
                <w:rFonts w:cs="华文仿宋" w:hint="eastAsia"/>
                <w:sz w:val="24"/>
              </w:rPr>
              <w:t>1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5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 w:val="restar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表演技巧</w:t>
            </w:r>
          </w:p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（</w:t>
            </w:r>
            <w:r w:rsidRPr="00F96391">
              <w:rPr>
                <w:rFonts w:cs="华文仿宋" w:hint="eastAsia"/>
                <w:sz w:val="24"/>
              </w:rPr>
              <w:t>40</w:t>
            </w:r>
            <w:r w:rsidRPr="00F96391">
              <w:rPr>
                <w:rFonts w:cs="华文仿宋" w:hint="eastAsia"/>
                <w:sz w:val="24"/>
              </w:rPr>
              <w:t>分）</w:t>
            </w: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举止：大方，自然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表情：丰富、到位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动作：得体，舒畅</w:t>
            </w:r>
          </w:p>
        </w:tc>
        <w:tc>
          <w:tcPr>
            <w:tcW w:w="936" w:type="pct"/>
            <w:vAlign w:val="center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  <w:vMerge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语言：发音、顺畅</w:t>
            </w:r>
          </w:p>
        </w:tc>
        <w:tc>
          <w:tcPr>
            <w:tcW w:w="936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1503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效果（</w:t>
            </w: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分）</w:t>
            </w:r>
          </w:p>
        </w:tc>
        <w:tc>
          <w:tcPr>
            <w:tcW w:w="2561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观众反应</w:t>
            </w:r>
          </w:p>
        </w:tc>
        <w:tc>
          <w:tcPr>
            <w:tcW w:w="936" w:type="pct"/>
          </w:tcPr>
          <w:p w:rsidR="005164B4" w:rsidRPr="00F96391" w:rsidRDefault="005164B4" w:rsidP="002902EB">
            <w:pPr>
              <w:spacing w:line="360" w:lineRule="auto"/>
              <w:ind w:right="28"/>
              <w:jc w:val="center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10</w:t>
            </w:r>
            <w:r w:rsidRPr="00F96391">
              <w:rPr>
                <w:rFonts w:cs="华文仿宋" w:hint="eastAsia"/>
                <w:sz w:val="24"/>
              </w:rPr>
              <w:t>分</w:t>
            </w:r>
          </w:p>
        </w:tc>
      </w:tr>
      <w:tr w:rsidR="005164B4" w:rsidRPr="00F96391" w:rsidTr="002902EB">
        <w:trPr>
          <w:jc w:val="center"/>
        </w:trPr>
        <w:tc>
          <w:tcPr>
            <w:tcW w:w="5000" w:type="pct"/>
            <w:gridSpan w:val="3"/>
          </w:tcPr>
          <w:p w:rsidR="005164B4" w:rsidRPr="00F96391" w:rsidRDefault="005164B4" w:rsidP="002902EB">
            <w:pPr>
              <w:spacing w:line="360" w:lineRule="auto"/>
              <w:ind w:right="28"/>
              <w:rPr>
                <w:rFonts w:cs="华文仿宋" w:hint="eastAsia"/>
                <w:sz w:val="24"/>
              </w:rPr>
            </w:pPr>
            <w:r w:rsidRPr="00F96391">
              <w:rPr>
                <w:rFonts w:cs="华文仿宋" w:hint="eastAsia"/>
                <w:sz w:val="24"/>
              </w:rPr>
              <w:t>*</w:t>
            </w:r>
            <w:r w:rsidRPr="00F96391">
              <w:rPr>
                <w:rFonts w:cs="华文仿宋" w:hint="eastAsia"/>
                <w:sz w:val="24"/>
              </w:rPr>
              <w:t>注：评分标准精确到小数点后一位</w:t>
            </w:r>
          </w:p>
        </w:tc>
      </w:tr>
    </w:tbl>
    <w:p w:rsidR="005164B4" w:rsidRPr="00F96391" w:rsidRDefault="005164B4" w:rsidP="005164B4">
      <w:pPr>
        <w:rPr>
          <w:rFonts w:hint="eastAsia"/>
        </w:rPr>
      </w:pPr>
    </w:p>
    <w:p w:rsidR="00763A40" w:rsidRPr="005164B4" w:rsidRDefault="00763A40">
      <w:bookmarkStart w:id="0" w:name="_GoBack"/>
      <w:bookmarkEnd w:id="0"/>
    </w:p>
    <w:sectPr w:rsidR="00763A40" w:rsidRPr="005164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EE" w:rsidRDefault="00EE2FEE" w:rsidP="005164B4">
      <w:r>
        <w:separator/>
      </w:r>
    </w:p>
  </w:endnote>
  <w:endnote w:type="continuationSeparator" w:id="0">
    <w:p w:rsidR="00EE2FEE" w:rsidRDefault="00EE2FEE" w:rsidP="0051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EE" w:rsidRDefault="00EE2FEE" w:rsidP="005164B4">
      <w:r>
        <w:separator/>
      </w:r>
    </w:p>
  </w:footnote>
  <w:footnote w:type="continuationSeparator" w:id="0">
    <w:p w:rsidR="00EE2FEE" w:rsidRDefault="00EE2FEE" w:rsidP="0051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FC"/>
    <w:rsid w:val="005164B4"/>
    <w:rsid w:val="007546FC"/>
    <w:rsid w:val="00763A40"/>
    <w:rsid w:val="00E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2017-03-19T02:44:00Z</dcterms:created>
  <dcterms:modified xsi:type="dcterms:W3CDTF">2017-03-19T02:44:00Z</dcterms:modified>
</cp:coreProperties>
</file>